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8251F">
      <w:pPr>
        <w:jc w:val="left"/>
        <w:rPr>
          <w:rFonts w:hint="eastAsia"/>
          <w:b w:val="0"/>
          <w:bCs w:val="0"/>
          <w:color w:val="000000"/>
          <w:sz w:val="32"/>
          <w:szCs w:val="32"/>
        </w:rPr>
      </w:pPr>
      <w:r>
        <w:rPr>
          <w:rFonts w:hint="eastAsia"/>
          <w:b w:val="0"/>
          <w:bCs w:val="0"/>
          <w:color w:val="000000"/>
          <w:sz w:val="32"/>
          <w:szCs w:val="32"/>
        </w:rPr>
        <w:t>附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件1</w:t>
      </w:r>
      <w:r>
        <w:rPr>
          <w:rFonts w:hint="eastAsia"/>
          <w:b w:val="0"/>
          <w:bCs w:val="0"/>
          <w:color w:val="000000"/>
          <w:sz w:val="32"/>
          <w:szCs w:val="32"/>
        </w:rPr>
        <w:t>：</w:t>
      </w:r>
    </w:p>
    <w:p w14:paraId="424A2471">
      <w:pPr>
        <w:jc w:val="center"/>
        <w:rPr>
          <w:b/>
          <w:bCs/>
          <w:sz w:val="24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各年级</w:t>
      </w:r>
      <w:r>
        <w:rPr>
          <w:rFonts w:hint="eastAsia"/>
          <w:b/>
          <w:bCs/>
          <w:color w:val="000000"/>
          <w:sz w:val="32"/>
          <w:szCs w:val="32"/>
        </w:rPr>
        <w:t>学分清查标准</w:t>
      </w:r>
    </w:p>
    <w:p w14:paraId="6F3AE56A">
      <w:pPr>
        <w:spacing w:line="460" w:lineRule="exact"/>
        <w:rPr>
          <w:b/>
          <w:bCs/>
          <w:sz w:val="24"/>
        </w:rPr>
      </w:pP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367"/>
        <w:gridCol w:w="1640"/>
        <w:gridCol w:w="1640"/>
        <w:gridCol w:w="1640"/>
      </w:tblGrid>
      <w:tr w14:paraId="2E01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7318">
            <w:pPr>
              <w:spacing w:line="46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学分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2A03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  <w:r>
              <w:rPr>
                <w:rFonts w:hint="eastAsia"/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FE3E">
            <w:pPr>
              <w:spacing w:line="460" w:lineRule="exact"/>
              <w:ind w:firstLine="480" w:firstLineChars="20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  <w:r>
              <w:rPr>
                <w:rFonts w:hint="eastAsia"/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E70C">
            <w:pPr>
              <w:spacing w:line="460" w:lineRule="exact"/>
              <w:ind w:firstLine="480" w:firstLineChars="20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  <w:sz w:val="24"/>
              </w:rPr>
              <w:t>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6B95">
            <w:pPr>
              <w:spacing w:line="46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备注</w:t>
            </w:r>
          </w:p>
        </w:tc>
      </w:tr>
      <w:tr w14:paraId="4CD9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4A03">
            <w:pPr>
              <w:spacing w:line="460" w:lineRule="exact"/>
              <w:ind w:left="241" w:hanging="240" w:hangingChars="1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预警学分标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准</w:t>
            </w:r>
          </w:p>
          <w:p w14:paraId="04D58B94">
            <w:pPr>
              <w:spacing w:line="460" w:lineRule="exact"/>
              <w:ind w:left="241" w:hanging="240" w:hanging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（已得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/应得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45D1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7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7850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8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7389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8</w:t>
            </w:r>
            <w:r>
              <w:rPr>
                <w:rFonts w:hint="eastAsia"/>
                <w:b w:val="0"/>
                <w:bCs w:val="0"/>
                <w:sz w:val="24"/>
              </w:rPr>
              <w:t>5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E964">
            <w:pPr>
              <w:spacing w:line="4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已得学分为已经取得的有效学分数</w:t>
            </w:r>
          </w:p>
          <w:p w14:paraId="6EB07144">
            <w:pPr>
              <w:spacing w:line="460" w:lineRule="exact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应得</w:t>
            </w:r>
            <w:r>
              <w:rPr>
                <w:rFonts w:hint="eastAsia"/>
                <w:bCs/>
                <w:color w:val="000000"/>
                <w:szCs w:val="21"/>
              </w:rPr>
              <w:t>学分数为该专业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已经</w:t>
            </w:r>
            <w:r>
              <w:rPr>
                <w:rFonts w:hint="eastAsia"/>
                <w:bCs/>
                <w:color w:val="000000"/>
                <w:szCs w:val="21"/>
              </w:rPr>
              <w:t>开出的所有课程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学分数</w:t>
            </w:r>
          </w:p>
        </w:tc>
      </w:tr>
      <w:tr w14:paraId="56F2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22EB">
            <w:pPr>
              <w:spacing w:line="460" w:lineRule="exact"/>
              <w:ind w:left="241" w:hanging="240" w:hangingChars="1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降</w:t>
            </w:r>
            <w:r>
              <w:rPr>
                <w:rFonts w:hint="eastAsia"/>
                <w:b w:val="0"/>
                <w:bCs w:val="0"/>
                <w:sz w:val="24"/>
              </w:rPr>
              <w:t>级学分标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准</w:t>
            </w:r>
          </w:p>
          <w:p w14:paraId="29310820">
            <w:pPr>
              <w:spacing w:line="460" w:lineRule="exact"/>
              <w:ind w:left="241" w:hanging="240" w:hanging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（已得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/应得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8787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50%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9845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6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1550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&lt;65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8800">
            <w:pPr>
              <w:spacing w:line="460" w:lineRule="exact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 w14:paraId="4BEB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879C">
            <w:pPr>
              <w:spacing w:line="460" w:lineRule="exact"/>
              <w:ind w:left="241" w:hanging="240" w:hangingChars="1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退学学分标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准</w:t>
            </w:r>
          </w:p>
          <w:p w14:paraId="76EEBA21">
            <w:pPr>
              <w:spacing w:line="460" w:lineRule="exact"/>
              <w:ind w:left="241" w:hanging="240" w:hanging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（已得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/应得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7E0C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30%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F3DA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40%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9C54">
            <w:pPr>
              <w:spacing w:line="46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&lt;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5</w:t>
            </w:r>
            <w:r>
              <w:rPr>
                <w:b w:val="0"/>
                <w:bCs w:val="0"/>
                <w:sz w:val="24"/>
              </w:rPr>
              <w:t>%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F23F">
            <w:pPr>
              <w:spacing w:line="460" w:lineRule="exact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 w14:paraId="1243AB12">
      <w:pPr>
        <w:spacing w:line="460" w:lineRule="exact"/>
        <w:rPr>
          <w:sz w:val="24"/>
        </w:rPr>
      </w:pPr>
    </w:p>
    <w:p w14:paraId="69A5558A">
      <w:pPr>
        <w:spacing w:line="460" w:lineRule="exact"/>
        <w:ind w:left="959" w:leftChars="228" w:hanging="480" w:hangingChars="200"/>
        <w:rPr>
          <w:rFonts w:hint="default" w:eastAsia="宋体"/>
          <w:b w:val="0"/>
          <w:bCs w:val="0"/>
          <w:color w:val="FF000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highlight w:val="none"/>
          <w:lang w:val="en-US" w:eastAsia="zh-CN"/>
        </w:rPr>
        <w:t>注：新教务系统中黄色预警代表达到学业预警标准，红色预警代表达到降级降级标准，退学预警代表达到退学标准。</w:t>
      </w:r>
    </w:p>
    <w:p w14:paraId="1A21B4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WQ2MDRjMTc0OTA0OTlhMTBkYzBjMDFmYTQxYzgifQ=="/>
  </w:docVars>
  <w:rsids>
    <w:rsidRoot w:val="12950266"/>
    <w:rsid w:val="129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2024-10-18T03:16:00Z</dcterms:created>
  <dc:creator>榴月</dc:creator>
  <cp:lastModifiedBy>榴月</cp:lastModifiedBy>
  <dcterms:modified xsi:type="dcterms:W3CDTF">2024-10-18T03:16:39Z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21101E94750448B38F1B5AAEDCB68FD6_11</vt:lpwstr>
  </property>
</Properties>
</file>