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E648">
      <w:pPr>
        <w:spacing w:before="101" w:line="341" w:lineRule="auto"/>
        <w:ind w:right="2812"/>
        <w:jc w:val="both"/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  <w:t>附件2</w:t>
      </w:r>
    </w:p>
    <w:p w14:paraId="63C34A74">
      <w:pPr>
        <w:spacing w:line="240" w:lineRule="auto"/>
        <w:ind w:right="0"/>
        <w:jc w:val="center"/>
        <w:rPr>
          <w:rFonts w:hint="default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  <w:t>教务系统转专业操作流程（学生操作版）</w:t>
      </w:r>
    </w:p>
    <w:p w14:paraId="7F6F8D1F">
      <w:pPr>
        <w:rPr>
          <w:rStyle w:val="6"/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从一站式平台进入教务系统：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begin"/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instrText xml:space="preserve"> HYPERLINK "https://portal.gdc.edu.cn" </w:instrTex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/>
          <w:sz w:val="28"/>
          <w:szCs w:val="28"/>
          <w:lang w:val="en-US" w:eastAsia="zh-CN"/>
        </w:rPr>
        <w:t>https://portal.gdc.edu.cn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end"/>
      </w:r>
    </w:p>
    <w:p w14:paraId="1E47AA94">
      <w:p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操作路径：学生服务→ 学籍信息→ 学籍异动→ 申请异动</w:t>
      </w:r>
    </w:p>
    <w:p w14:paraId="19741BF5">
      <w:r>
        <w:drawing>
          <wp:inline distT="0" distB="0" distL="114300" distR="114300">
            <wp:extent cx="5261610" cy="2719705"/>
            <wp:effectExtent l="0" t="0" r="152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2708275"/>
            <wp:effectExtent l="0" t="0" r="1143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7EF27"/>
    <w:p w14:paraId="1E3F79A3"/>
    <w:p w14:paraId="3FD3230C"/>
    <w:p w14:paraId="1CB9B4FF"/>
    <w:p w14:paraId="0F03EA27"/>
    <w:p w14:paraId="605A9C71"/>
    <w:p w14:paraId="7CDAAC98"/>
    <w:p w14:paraId="7DCEB4DC"/>
    <w:p w14:paraId="4ABB614F"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在规定时间内填写转专业申请，选择各项转专业的信息，按要求上传附件，点击申请即可。</w:t>
      </w:r>
    </w:p>
    <w:p w14:paraId="4AA5420A">
      <w:r>
        <w:drawing>
          <wp:inline distT="0" distB="0" distL="114300" distR="114300">
            <wp:extent cx="5271770" cy="2719070"/>
            <wp:effectExtent l="0" t="0" r="508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53CD5">
      <w:r>
        <w:drawing>
          <wp:inline distT="0" distB="0" distL="114300" distR="114300">
            <wp:extent cx="5265420" cy="2470785"/>
            <wp:effectExtent l="0" t="0" r="1143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63C07"/>
    <w:rsid w:val="4F263C07"/>
    <w:rsid w:val="6BAA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2025-11-24T08:00:00Z</dcterms:created>
  <dc:creator>刘志平</dc:creator>
  <cp:lastModifiedBy>刘志平</cp:lastModifiedBy>
  <dcterms:modified xsi:type="dcterms:W3CDTF">2025-11-24T08:00:39Z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82A76FC9312B46619ED62499AB742432_11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